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D0" w:rsidRDefault="000B5BD0" w:rsidP="000B5BD0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0B5BD0" w:rsidRPr="00E960BB" w:rsidRDefault="000B5BD0" w:rsidP="000B5BD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503355">
        <w:rPr>
          <w:rFonts w:ascii="Corbel" w:hAnsi="Corbel"/>
          <w:bCs/>
          <w:i/>
        </w:rPr>
        <w:t>do Zarządzenia Rektora UR  nr 61/2025</w:t>
      </w:r>
    </w:p>
    <w:p w:rsidR="000B5BD0" w:rsidRPr="009C54AE" w:rsidRDefault="000B5BD0" w:rsidP="000B5BD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B5BD0" w:rsidRPr="009C54AE" w:rsidRDefault="000B5BD0" w:rsidP="000B5BD0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1C2E8EEB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1C2E8EEB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BE78C1">
        <w:rPr>
          <w:rFonts w:ascii="Corbel" w:hAnsi="Corbel"/>
          <w:i/>
          <w:iCs/>
          <w:smallCaps/>
          <w:sz w:val="24"/>
          <w:szCs w:val="24"/>
        </w:rPr>
        <w:t>202</w:t>
      </w:r>
      <w:r w:rsidR="00503355">
        <w:rPr>
          <w:rFonts w:ascii="Corbel" w:hAnsi="Corbel"/>
          <w:i/>
          <w:iCs/>
          <w:smallCaps/>
          <w:sz w:val="24"/>
          <w:szCs w:val="24"/>
        </w:rPr>
        <w:t>5</w:t>
      </w:r>
      <w:r w:rsidRPr="00BE78C1">
        <w:rPr>
          <w:rFonts w:ascii="Corbel" w:hAnsi="Corbel"/>
          <w:i/>
          <w:iCs/>
          <w:smallCaps/>
          <w:sz w:val="24"/>
          <w:szCs w:val="24"/>
        </w:rPr>
        <w:t>-202</w:t>
      </w:r>
      <w:r w:rsidR="00503355">
        <w:rPr>
          <w:rFonts w:ascii="Corbel" w:hAnsi="Corbel"/>
          <w:i/>
          <w:iCs/>
          <w:smallCaps/>
          <w:sz w:val="24"/>
          <w:szCs w:val="24"/>
        </w:rPr>
        <w:t>8</w:t>
      </w:r>
    </w:p>
    <w:p w:rsidR="000B5BD0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0B5BD0" w:rsidRPr="00EA4832" w:rsidRDefault="000B5BD0" w:rsidP="000B5BD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E78C1">
        <w:rPr>
          <w:rFonts w:ascii="Corbel" w:hAnsi="Corbel"/>
          <w:sz w:val="20"/>
          <w:szCs w:val="20"/>
        </w:rPr>
        <w:t>202</w:t>
      </w:r>
      <w:r w:rsidR="00503355">
        <w:rPr>
          <w:rFonts w:ascii="Corbel" w:hAnsi="Corbel"/>
          <w:sz w:val="20"/>
          <w:szCs w:val="20"/>
        </w:rPr>
        <w:t>6</w:t>
      </w:r>
      <w:r w:rsidRPr="00BE78C1">
        <w:rPr>
          <w:rFonts w:ascii="Corbel" w:hAnsi="Corbel"/>
          <w:sz w:val="20"/>
          <w:szCs w:val="20"/>
        </w:rPr>
        <w:t>/202</w:t>
      </w:r>
      <w:r w:rsidR="00503355">
        <w:rPr>
          <w:rFonts w:ascii="Corbel" w:hAnsi="Corbel"/>
          <w:sz w:val="20"/>
          <w:szCs w:val="20"/>
        </w:rPr>
        <w:t>7</w:t>
      </w:r>
    </w:p>
    <w:p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B5BD0" w:rsidRPr="00053780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53780">
              <w:rPr>
                <w:rFonts w:ascii="Corbel" w:hAnsi="Corbel"/>
                <w:color w:val="auto"/>
                <w:sz w:val="24"/>
                <w:szCs w:val="24"/>
              </w:rPr>
              <w:t>Międzynarodowe Prawo Humanitarne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BW41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0B5BD0" w:rsidRPr="009C54AE" w:rsidRDefault="0050335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0B5BD0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5378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50335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B5BD0" w:rsidRPr="009C54AE" w:rsidRDefault="0045670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4497316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B5BD0" w:rsidRPr="009C54AE" w:rsidRDefault="000B5BD0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B5BD0" w:rsidRPr="009C54AE" w:rsidRDefault="00F51F0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0B5BD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Tomasz Koziełło</w:t>
            </w:r>
            <w:r w:rsidR="000B5BD0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0B5BD0" w:rsidRPr="009C54AE" w:rsidTr="006827B6">
        <w:tc>
          <w:tcPr>
            <w:tcW w:w="2694" w:type="dxa"/>
            <w:vAlign w:val="center"/>
          </w:tcPr>
          <w:p w:rsidR="000B5BD0" w:rsidRPr="009C54AE" w:rsidRDefault="000B5BD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B5BD0" w:rsidRPr="009C54AE" w:rsidRDefault="00F51F0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B5BD0" w:rsidRPr="0D188551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:rsidR="000B5BD0" w:rsidRPr="009C54AE" w:rsidRDefault="000B5BD0" w:rsidP="000B5BD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0B5BD0" w:rsidRPr="009C54AE" w:rsidRDefault="000B5BD0" w:rsidP="000B5BD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B5BD0" w:rsidRPr="009C54AE" w:rsidRDefault="000B5BD0" w:rsidP="000B5BD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B5BD0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D0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BD0" w:rsidRPr="009C54AE" w:rsidRDefault="000B5BD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B5BD0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C26B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BD0" w:rsidRPr="009C54AE" w:rsidRDefault="000B5BD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B5BD0" w:rsidRPr="009C54AE" w:rsidRDefault="000B5BD0" w:rsidP="000B5B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B5BD0" w:rsidRPr="009C54AE" w:rsidRDefault="000B5BD0" w:rsidP="000B5BD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0B5BD0" w:rsidRPr="00053780" w:rsidRDefault="000B5BD0" w:rsidP="000B5BD0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53780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53780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0B5BD0" w:rsidRPr="009C54AE" w:rsidRDefault="000B5BD0" w:rsidP="000B5B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B5BD0" w:rsidRPr="007F01A2" w:rsidRDefault="000B5BD0" w:rsidP="000B5B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C34A79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,)</w:t>
      </w:r>
    </w:p>
    <w:p w:rsidR="000B5BD0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B5BD0" w:rsidRPr="009C54AE" w:rsidTr="006827B6">
        <w:tc>
          <w:tcPr>
            <w:tcW w:w="9670" w:type="dxa"/>
          </w:tcPr>
          <w:p w:rsidR="000B5BD0" w:rsidRPr="009C54AE" w:rsidRDefault="000B5BD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3A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Międzynarodowego Prawa Humanitarnego Konfliktów Zbrojnych.</w:t>
            </w:r>
          </w:p>
        </w:tc>
      </w:tr>
    </w:tbl>
    <w:p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</w:p>
    <w:p w:rsidR="000B5BD0" w:rsidRPr="00C05F44" w:rsidRDefault="000B5BD0" w:rsidP="000B5BD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0B5BD0" w:rsidRDefault="000B5BD0" w:rsidP="000B5BD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0B5BD0" w:rsidRPr="009C54AE" w:rsidRDefault="000B5BD0" w:rsidP="000B5BD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B5BD0" w:rsidRPr="009C54AE" w:rsidTr="006827B6">
        <w:tc>
          <w:tcPr>
            <w:tcW w:w="851" w:type="dxa"/>
            <w:vAlign w:val="center"/>
          </w:tcPr>
          <w:p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aktów prawnych regulujących międzynarodowe prawo humanitarne.</w:t>
            </w:r>
          </w:p>
        </w:tc>
      </w:tr>
      <w:tr w:rsidR="000B5BD0" w:rsidRPr="009C54AE" w:rsidTr="006827B6">
        <w:tc>
          <w:tcPr>
            <w:tcW w:w="851" w:type="dxa"/>
            <w:vAlign w:val="center"/>
          </w:tcPr>
          <w:p w:rsidR="000B5BD0" w:rsidRPr="009C54AE" w:rsidRDefault="000B5BD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B5BD0" w:rsidRPr="000D246A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</w:t>
            </w:r>
            <w:r>
              <w:rPr>
                <w:rFonts w:ascii="Corbel" w:hAnsi="Corbel"/>
                <w:b w:val="0"/>
                <w:sz w:val="24"/>
                <w:szCs w:val="24"/>
              </w:rPr>
              <w:t>zę na temat podstawowych zasad Międzynarodowego Prawa H</w:t>
            </w:r>
            <w:r w:rsidRPr="000D246A">
              <w:rPr>
                <w:rFonts w:ascii="Corbel" w:hAnsi="Corbel"/>
                <w:b w:val="0"/>
                <w:sz w:val="24"/>
                <w:szCs w:val="24"/>
              </w:rPr>
              <w:t>umanitarnego.</w:t>
            </w:r>
          </w:p>
        </w:tc>
      </w:tr>
      <w:tr w:rsidR="000B5BD0" w:rsidRPr="009C54AE" w:rsidTr="006827B6">
        <w:tc>
          <w:tcPr>
            <w:tcW w:w="851" w:type="dxa"/>
            <w:vAlign w:val="center"/>
          </w:tcPr>
          <w:p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5BD0" w:rsidRPr="009C54AE" w:rsidRDefault="000B5BD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D246A">
              <w:rPr>
                <w:rFonts w:ascii="Corbel" w:hAnsi="Corbel"/>
                <w:b w:val="0"/>
                <w:sz w:val="24"/>
                <w:szCs w:val="24"/>
              </w:rPr>
              <w:t>Student powinien posiadać wiedzę na temat zasad stosowania prawa humanitarnego w konfliktach zbrojnych.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B5BD0" w:rsidRDefault="000B5BD0" w:rsidP="000B5BD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0B5BD0" w:rsidRDefault="000B5BD0" w:rsidP="000B5BD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E75B13" w:rsidRPr="00BE78C1" w:rsidTr="006827B6">
        <w:tc>
          <w:tcPr>
            <w:tcW w:w="1701" w:type="dxa"/>
            <w:vAlign w:val="center"/>
          </w:tcPr>
          <w:p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B5BD0" w:rsidRPr="00BE78C1" w:rsidRDefault="000B5BD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BE78C1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5B13" w:rsidRPr="00BE78C1" w:rsidTr="006827B6">
        <w:tc>
          <w:tcPr>
            <w:tcW w:w="1701" w:type="dxa"/>
          </w:tcPr>
          <w:p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</w:t>
            </w:r>
            <w:r w:rsidRPr="00BE78C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akty prawne Międzynarodowego Prawa Humanitarnego oraz instytucje krajowe i międzynarodowe odpowiedzialne za przestrzeganie prawa humanitarnego podczas konfliktów zbrojnych. </w:t>
            </w:r>
          </w:p>
        </w:tc>
        <w:tc>
          <w:tcPr>
            <w:tcW w:w="1873" w:type="dxa"/>
          </w:tcPr>
          <w:p w:rsidR="000B5BD0" w:rsidRPr="00BE78C1" w:rsidRDefault="000B5BD0" w:rsidP="009E67F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E75B13" w:rsidRPr="00BE78C1" w:rsidTr="006827B6">
        <w:tc>
          <w:tcPr>
            <w:tcW w:w="1701" w:type="dxa"/>
          </w:tcPr>
          <w:p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0B5BD0" w:rsidRPr="009E67F6" w:rsidRDefault="009E67F6" w:rsidP="006827B6">
            <w:pPr>
              <w:spacing w:after="0" w:line="240" w:lineRule="auto"/>
              <w:rPr>
                <w:rFonts w:ascii="Corbel" w:hAnsi="Corbel"/>
              </w:rPr>
            </w:pPr>
            <w:r w:rsidRPr="009E67F6">
              <w:rPr>
                <w:rFonts w:ascii="Corbel" w:hAnsi="Corbel"/>
              </w:rPr>
              <w:t xml:space="preserve">Potrafi ocenić zakres odpowiedzialności jednostki lub grupy osób za masowe naruszenia praw człowieka. </w:t>
            </w:r>
          </w:p>
        </w:tc>
        <w:tc>
          <w:tcPr>
            <w:tcW w:w="1873" w:type="dxa"/>
          </w:tcPr>
          <w:p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E75B13" w:rsidRPr="00BE78C1" w:rsidTr="006827B6">
        <w:tc>
          <w:tcPr>
            <w:tcW w:w="1701" w:type="dxa"/>
          </w:tcPr>
          <w:p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0B5BD0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Pr="006D3A4D">
              <w:rPr>
                <w:rFonts w:ascii="Corbel" w:hAnsi="Corbel"/>
                <w:szCs w:val="24"/>
              </w:rPr>
              <w:t>miejsca na świecie w których dochodz</w:t>
            </w:r>
            <w:r>
              <w:rPr>
                <w:rFonts w:ascii="Corbel" w:hAnsi="Corbel"/>
                <w:szCs w:val="24"/>
              </w:rPr>
              <w:t>iło</w:t>
            </w:r>
            <w:r w:rsidRPr="006D3A4D">
              <w:rPr>
                <w:rFonts w:ascii="Corbel" w:hAnsi="Corbel"/>
                <w:szCs w:val="24"/>
              </w:rPr>
              <w:t xml:space="preserve"> do masowych naruszeń praw człowieka</w:t>
            </w:r>
            <w:r w:rsidR="00E75B13">
              <w:rPr>
                <w:rFonts w:ascii="Corbel" w:hAnsi="Corbel"/>
                <w:szCs w:val="24"/>
              </w:rPr>
              <w:t xml:space="preserve"> i łamania prawa międzynarodowego. </w:t>
            </w:r>
          </w:p>
        </w:tc>
        <w:tc>
          <w:tcPr>
            <w:tcW w:w="1873" w:type="dxa"/>
          </w:tcPr>
          <w:p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75B13" w:rsidRPr="00BE78C1" w:rsidTr="006827B6">
        <w:tc>
          <w:tcPr>
            <w:tcW w:w="1701" w:type="dxa"/>
          </w:tcPr>
          <w:p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Rozumie i </w:t>
            </w:r>
            <w:r w:rsidR="009E67F6">
              <w:rPr>
                <w:rFonts w:ascii="Corbel" w:hAnsi="Corbel"/>
                <w:szCs w:val="24"/>
              </w:rPr>
              <w:t>interp</w:t>
            </w:r>
            <w:r>
              <w:rPr>
                <w:rFonts w:ascii="Corbel" w:hAnsi="Corbel"/>
                <w:szCs w:val="24"/>
              </w:rPr>
              <w:t>retuje</w:t>
            </w:r>
            <w:r w:rsidR="009E67F6">
              <w:rPr>
                <w:rFonts w:ascii="Corbel" w:hAnsi="Corbel"/>
                <w:szCs w:val="24"/>
              </w:rPr>
              <w:t xml:space="preserve"> zjawiska</w:t>
            </w:r>
            <w:r>
              <w:rPr>
                <w:rFonts w:ascii="Corbel" w:hAnsi="Corbel"/>
                <w:szCs w:val="24"/>
              </w:rPr>
              <w:t xml:space="preserve"> łamania norm międzynarodowego prawa humanitarnego i </w:t>
            </w:r>
            <w:r w:rsidR="009E67F6">
              <w:rPr>
                <w:rFonts w:ascii="Corbel" w:hAnsi="Corbel"/>
                <w:szCs w:val="24"/>
              </w:rPr>
              <w:t>wyciąga</w:t>
            </w:r>
            <w:r>
              <w:rPr>
                <w:rFonts w:ascii="Corbel" w:hAnsi="Corbel"/>
                <w:szCs w:val="24"/>
              </w:rPr>
              <w:t xml:space="preserve"> </w:t>
            </w:r>
            <w:r w:rsidR="009E67F6">
              <w:rPr>
                <w:rFonts w:ascii="Corbel" w:hAnsi="Corbel"/>
                <w:szCs w:val="24"/>
              </w:rPr>
              <w:t>wnioski w kontekście współczesnej sytuacji międzynarodowej.</w:t>
            </w:r>
          </w:p>
        </w:tc>
        <w:tc>
          <w:tcPr>
            <w:tcW w:w="1873" w:type="dxa"/>
          </w:tcPr>
          <w:p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E75B13" w:rsidRPr="00BE78C1" w:rsidTr="006827B6">
        <w:tc>
          <w:tcPr>
            <w:tcW w:w="1701" w:type="dxa"/>
          </w:tcPr>
          <w:p w:rsidR="000B5BD0" w:rsidRPr="00BE78C1" w:rsidRDefault="000B5BD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0B5BD0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główne zasady międzynarodowego prawa humanitarnego. </w:t>
            </w:r>
          </w:p>
        </w:tc>
        <w:tc>
          <w:tcPr>
            <w:tcW w:w="1873" w:type="dxa"/>
          </w:tcPr>
          <w:p w:rsidR="000B5BD0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E75B13" w:rsidRPr="00BE78C1" w:rsidTr="006827B6">
        <w:tc>
          <w:tcPr>
            <w:tcW w:w="1701" w:type="dxa"/>
          </w:tcPr>
          <w:p w:rsidR="009E67F6" w:rsidRPr="00BE78C1" w:rsidRDefault="009E67F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9E67F6" w:rsidRPr="00BE78C1" w:rsidRDefault="00E75B1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Zdobytą wiedzę potrafi wykorzystać w środowisku społecznym oraz w pracy zawodowej. </w:t>
            </w:r>
          </w:p>
        </w:tc>
        <w:tc>
          <w:tcPr>
            <w:tcW w:w="1873" w:type="dxa"/>
          </w:tcPr>
          <w:p w:rsidR="009E67F6" w:rsidRPr="00BE78C1" w:rsidRDefault="009E67F6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E78C1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B5BD0" w:rsidRPr="009C54AE" w:rsidRDefault="000B5BD0" w:rsidP="000B5BD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0B5BD0" w:rsidRPr="009C54AE" w:rsidRDefault="000B5BD0" w:rsidP="000B5BD0">
      <w:pPr>
        <w:spacing w:after="0" w:line="240" w:lineRule="auto"/>
        <w:rPr>
          <w:rFonts w:ascii="Corbel" w:hAnsi="Corbel"/>
          <w:sz w:val="24"/>
          <w:szCs w:val="24"/>
        </w:rPr>
      </w:pPr>
    </w:p>
    <w:p w:rsidR="000B5BD0" w:rsidRPr="009C54AE" w:rsidRDefault="000B5BD0" w:rsidP="000B5BD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B5BD0" w:rsidRPr="009C54AE" w:rsidRDefault="000B5BD0" w:rsidP="000B5BD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B5BD0" w:rsidRPr="009C54AE" w:rsidTr="006827B6">
        <w:tc>
          <w:tcPr>
            <w:tcW w:w="9639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Główne założenia Międzynarodowego Prawa Humanitarnego Konfliktów Zbrojnych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Podstawowe zasady Międzynarodowego Prawa Humanitarnego Konfliktów Zbrojnych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Międzynarodowy Ruch Czerwonego Krzyża i Czerwonego Półksiężyca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Cele wojskowe a obiekty cywilne oraz dobra i obiekty chronione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rannych, chorych, personel medyczny i duchowny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Status kombatanta, ochrona i uprawnienia jeńców wojennych innych osób zatrzymanych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Ochrona ludności cywilnej, ochrona uchodźców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Zakazy i ograniczenia użycia środków prowadzenia działań zbrojnych w świetle międzynarodowego prawa humanitarnego konfliktów zbrojnych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lastRenderedPageBreak/>
              <w:t>Zakazane i dozwolone metody prowadzenia działań zbrojnych  w świetle międzynarodowego prawa humanitarnego konfliktów zbrojnych</w:t>
            </w:r>
          </w:p>
        </w:tc>
      </w:tr>
      <w:tr w:rsidR="000B5BD0" w:rsidRPr="009C54AE" w:rsidTr="006827B6">
        <w:tc>
          <w:tcPr>
            <w:tcW w:w="9639" w:type="dxa"/>
          </w:tcPr>
          <w:p w:rsidR="000B5BD0" w:rsidRPr="006D3A4D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3A4D">
              <w:rPr>
                <w:rFonts w:ascii="Corbel" w:hAnsi="Corbel"/>
                <w:sz w:val="24"/>
                <w:szCs w:val="24"/>
              </w:rPr>
              <w:t>Znaki ochronne i oznaczenia w międzynarodowym prawie humanitarnym konfliktów zbrojnych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0B5BD0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0B5BD0" w:rsidRPr="009C54AE" w:rsidRDefault="000B5BD0" w:rsidP="000B5BD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0B5BD0" w:rsidRPr="009C54AE" w:rsidTr="006827B6">
        <w:tc>
          <w:tcPr>
            <w:tcW w:w="1985" w:type="dxa"/>
            <w:vAlign w:val="center"/>
          </w:tcPr>
          <w:p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B5BD0" w:rsidRPr="009C54AE" w:rsidRDefault="000B5BD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B5BD0" w:rsidRPr="009C54AE" w:rsidTr="006827B6">
        <w:tc>
          <w:tcPr>
            <w:tcW w:w="1985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:rsidTr="006827B6">
        <w:tc>
          <w:tcPr>
            <w:tcW w:w="1985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:rsidTr="006827B6">
        <w:tc>
          <w:tcPr>
            <w:tcW w:w="1985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:rsidTr="006827B6">
        <w:tc>
          <w:tcPr>
            <w:tcW w:w="1985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zajęć, kolokwium</w:t>
            </w:r>
          </w:p>
        </w:tc>
        <w:tc>
          <w:tcPr>
            <w:tcW w:w="2126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B5BD0" w:rsidRPr="009C54AE" w:rsidTr="006827B6">
        <w:tc>
          <w:tcPr>
            <w:tcW w:w="1985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77B54" w:rsidRPr="009C54AE" w:rsidTr="006827B6">
        <w:tc>
          <w:tcPr>
            <w:tcW w:w="1985" w:type="dxa"/>
          </w:tcPr>
          <w:p w:rsidR="00877B54" w:rsidRPr="009C54AE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3A4D"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77B54" w:rsidRDefault="00877B5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B5BD0" w:rsidRPr="009C54AE" w:rsidTr="006827B6">
        <w:tc>
          <w:tcPr>
            <w:tcW w:w="9670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aktywność podczas zajęć</w:t>
            </w:r>
          </w:p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B5BD0" w:rsidRPr="009C54AE" w:rsidTr="006827B6">
        <w:tc>
          <w:tcPr>
            <w:tcW w:w="4962" w:type="dxa"/>
            <w:vAlign w:val="center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0B5BD0" w:rsidRPr="009C54AE" w:rsidTr="006827B6">
        <w:tc>
          <w:tcPr>
            <w:tcW w:w="4962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:rsidTr="006827B6">
        <w:tc>
          <w:tcPr>
            <w:tcW w:w="4962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B5BD0" w:rsidRPr="009C54AE" w:rsidTr="006827B6">
        <w:tc>
          <w:tcPr>
            <w:tcW w:w="4962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B5BD0" w:rsidRPr="009C54AE" w:rsidRDefault="00AF1F1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B5BD0" w:rsidRPr="009C54AE" w:rsidTr="006827B6">
        <w:tc>
          <w:tcPr>
            <w:tcW w:w="4962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B5BD0" w:rsidRPr="009C54AE" w:rsidTr="006827B6">
        <w:tc>
          <w:tcPr>
            <w:tcW w:w="4962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B5BD0" w:rsidRPr="009C54AE" w:rsidRDefault="000B5BD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B5BD0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B5BD0" w:rsidRPr="009C54AE" w:rsidTr="006827B6">
        <w:trPr>
          <w:trHeight w:val="397"/>
        </w:trPr>
        <w:tc>
          <w:tcPr>
            <w:tcW w:w="3544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26E8">
              <w:t>Nie dotyczy</w:t>
            </w:r>
          </w:p>
        </w:tc>
      </w:tr>
      <w:tr w:rsidR="000B5BD0" w:rsidRPr="009C54AE" w:rsidTr="006827B6">
        <w:trPr>
          <w:trHeight w:val="397"/>
        </w:trPr>
        <w:tc>
          <w:tcPr>
            <w:tcW w:w="3544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B5BD0" w:rsidRPr="009C54AE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26E8">
              <w:t>Nie dotyczy</w:t>
            </w:r>
          </w:p>
        </w:tc>
      </w:tr>
    </w:tbl>
    <w:p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B5BD0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0B5BD0" w:rsidRPr="009C54AE" w:rsidRDefault="000B5BD0" w:rsidP="000B5BD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0B5BD0" w:rsidRPr="009C54AE" w:rsidTr="006827B6">
        <w:trPr>
          <w:trHeight w:val="397"/>
        </w:trPr>
        <w:tc>
          <w:tcPr>
            <w:tcW w:w="7513" w:type="dxa"/>
          </w:tcPr>
          <w:p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Falkowski Z., Marcinko M., (red.), Międzynarodowe prawo humanitarne konfliktów zbrojnych, Warszawa 2014.</w:t>
            </w:r>
          </w:p>
          <w:p w:rsidR="000B5BD0" w:rsidRPr="00BF3808" w:rsidRDefault="000B5BD0" w:rsidP="006827B6">
            <w:pPr>
              <w:spacing w:after="0"/>
              <w:ind w:left="147" w:hanging="142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="000B5BD0" w:rsidRPr="00BF3808" w:rsidRDefault="000B5BD0" w:rsidP="006827B6">
            <w:pPr>
              <w:spacing w:after="0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Lankosz K., (oprac.), Międzynarodowe prawo humanitarne konfliktów zbrojnych. Wybór dokumentów, Bielsko-Biała 2007.</w:t>
            </w:r>
          </w:p>
        </w:tc>
      </w:tr>
      <w:tr w:rsidR="000B5BD0" w:rsidRPr="009C54AE" w:rsidTr="006827B6">
        <w:trPr>
          <w:trHeight w:val="397"/>
        </w:trPr>
        <w:tc>
          <w:tcPr>
            <w:tcW w:w="7513" w:type="dxa"/>
          </w:tcPr>
          <w:p w:rsidR="000B5BD0" w:rsidRPr="00053780" w:rsidRDefault="000B5BD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8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B5BD0" w:rsidRPr="00BF3808" w:rsidRDefault="000B5BD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BF3808">
              <w:rPr>
                <w:rFonts w:ascii="Corbel" w:hAnsi="Corbel"/>
                <w:sz w:val="24"/>
                <w:szCs w:val="24"/>
              </w:rPr>
              <w:t>S</w:t>
            </w:r>
            <w:r w:rsidRPr="00BF3808">
              <w:rPr>
                <w:sz w:val="24"/>
                <w:szCs w:val="24"/>
              </w:rPr>
              <w:t xml:space="preserve">ołhaj P., Wybrane zagadnienia z zakresu Międzynarodowego Prawa Humanitarnego oraz odpowiedzialności karnej żołnierzy, Kraków 2018. </w:t>
            </w: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Szpak A., Międzynarodowe prawo humanitarne, Toruń 2014.</w:t>
            </w: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  <w:r w:rsidRPr="00BF3808">
              <w:rPr>
                <w:rStyle w:val="wrtext"/>
                <w:rFonts w:ascii="Corbel" w:hAnsi="Corbel"/>
                <w:sz w:val="24"/>
                <w:szCs w:val="24"/>
              </w:rPr>
              <w:t>Janusz-Pawletta B., Międzynarodowe prawo humanitarne konfliktów zbrojnych, Warszawa 2013.</w:t>
            </w:r>
          </w:p>
          <w:p w:rsidR="000B5BD0" w:rsidRPr="00BF3808" w:rsidRDefault="000B5BD0" w:rsidP="006827B6">
            <w:pPr>
              <w:autoSpaceDE w:val="0"/>
              <w:autoSpaceDN w:val="0"/>
              <w:adjustRightInd w:val="0"/>
              <w:spacing w:after="0"/>
              <w:ind w:left="289" w:hanging="289"/>
              <w:jc w:val="both"/>
              <w:rPr>
                <w:rStyle w:val="wrtext"/>
                <w:rFonts w:ascii="Corbel" w:hAnsi="Corbel"/>
                <w:sz w:val="24"/>
                <w:szCs w:val="24"/>
              </w:rPr>
            </w:pPr>
          </w:p>
          <w:p w:rsidR="000B5BD0" w:rsidRPr="00F86D0E" w:rsidRDefault="000B5BD0" w:rsidP="006827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86D0E">
              <w:rPr>
                <w:rStyle w:val="wrtext"/>
                <w:sz w:val="24"/>
                <w:szCs w:val="24"/>
              </w:rPr>
              <w:t xml:space="preserve">Marcinko M., Między humanitaryzmem a koniecznością wojskową-znaczenie zasady proporcjonalności w planowaniu i prowadzeniu operacji militarnych. Polski Rocznik Praw Człowieka i Prawa Humanitarnego, Olsztyn 2015. </w:t>
            </w:r>
          </w:p>
        </w:tc>
      </w:tr>
    </w:tbl>
    <w:p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B5BD0" w:rsidRPr="009C54AE" w:rsidRDefault="000B5BD0" w:rsidP="000B5BD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A34" w:rsidRDefault="00C14A34" w:rsidP="000B5BD0">
      <w:pPr>
        <w:spacing w:after="0" w:line="240" w:lineRule="auto"/>
      </w:pPr>
      <w:r>
        <w:separator/>
      </w:r>
    </w:p>
  </w:endnote>
  <w:endnote w:type="continuationSeparator" w:id="0">
    <w:p w:rsidR="00C14A34" w:rsidRDefault="00C14A34" w:rsidP="000B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A34" w:rsidRDefault="00C14A34" w:rsidP="000B5BD0">
      <w:pPr>
        <w:spacing w:after="0" w:line="240" w:lineRule="auto"/>
      </w:pPr>
      <w:r>
        <w:separator/>
      </w:r>
    </w:p>
  </w:footnote>
  <w:footnote w:type="continuationSeparator" w:id="0">
    <w:p w:rsidR="00C14A34" w:rsidRDefault="00C14A34" w:rsidP="000B5BD0">
      <w:pPr>
        <w:spacing w:after="0" w:line="240" w:lineRule="auto"/>
      </w:pPr>
      <w:r>
        <w:continuationSeparator/>
      </w:r>
    </w:p>
  </w:footnote>
  <w:footnote w:id="1">
    <w:p w:rsidR="000B5BD0" w:rsidRDefault="000B5BD0" w:rsidP="000B5B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AA6"/>
    <w:rsid w:val="00052959"/>
    <w:rsid w:val="00093689"/>
    <w:rsid w:val="000B5BD0"/>
    <w:rsid w:val="003203ED"/>
    <w:rsid w:val="00415336"/>
    <w:rsid w:val="00436D02"/>
    <w:rsid w:val="0045670E"/>
    <w:rsid w:val="00503355"/>
    <w:rsid w:val="00623714"/>
    <w:rsid w:val="006B0656"/>
    <w:rsid w:val="007273C7"/>
    <w:rsid w:val="00877B54"/>
    <w:rsid w:val="008C1120"/>
    <w:rsid w:val="009E67F6"/>
    <w:rsid w:val="00A10F68"/>
    <w:rsid w:val="00AC26B0"/>
    <w:rsid w:val="00AF1F17"/>
    <w:rsid w:val="00B46AA6"/>
    <w:rsid w:val="00C14A34"/>
    <w:rsid w:val="00C52EA8"/>
    <w:rsid w:val="00E04071"/>
    <w:rsid w:val="00E65FC9"/>
    <w:rsid w:val="00E75B13"/>
    <w:rsid w:val="00F5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B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BD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B5BD0"/>
    <w:rPr>
      <w:vertAlign w:val="superscript"/>
    </w:rPr>
  </w:style>
  <w:style w:type="paragraph" w:customStyle="1" w:styleId="Punktygwne">
    <w:name w:val="Punkty główne"/>
    <w:basedOn w:val="Normalny"/>
    <w:rsid w:val="000B5BD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B5BD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B5BD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B5BD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B5BD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B5BD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B5BD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B5B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0B5BD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0B5B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B5BD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1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1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2022-10-29T17:05:00Z</dcterms:created>
  <dcterms:modified xsi:type="dcterms:W3CDTF">2025-11-21T10:13:00Z</dcterms:modified>
</cp:coreProperties>
</file>